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2A1EF5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34C93" w:rsidRPr="00D065A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2A1EF5">
        <w:rPr>
          <w:sz w:val="26"/>
          <w:szCs w:val="26"/>
        </w:rPr>
        <w:t>6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2A1EF5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334C93" w:rsidRPr="00334C93">
        <w:rPr>
          <w:sz w:val="26"/>
          <w:szCs w:val="26"/>
        </w:rPr>
        <w:t>2</w:t>
      </w:r>
      <w:r w:rsidR="002A1EF5">
        <w:rPr>
          <w:sz w:val="26"/>
          <w:szCs w:val="26"/>
        </w:rPr>
        <w:t>9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136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2A1EF5" w:rsidRPr="002A1EF5">
        <w:rPr>
          <w:sz w:val="26"/>
          <w:szCs w:val="26"/>
        </w:rPr>
        <w:t>Об утверждении перечня видов обязательных работ, перечней объектов для отбывания наказания, осужденных к обязательным и исправительным работам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334C93" w:rsidRPr="00334C93">
        <w:rPr>
          <w:sz w:val="26"/>
          <w:szCs w:val="26"/>
        </w:rPr>
        <w:t>2</w:t>
      </w:r>
      <w:r w:rsidR="002A1EF5">
        <w:rPr>
          <w:sz w:val="26"/>
          <w:szCs w:val="26"/>
        </w:rPr>
        <w:t>9</w:t>
      </w:r>
      <w:bookmarkStart w:id="0" w:name="_GoBack"/>
      <w:bookmarkEnd w:id="0"/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06E4B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87</cp:revision>
  <dcterms:created xsi:type="dcterms:W3CDTF">2022-03-16T13:44:00Z</dcterms:created>
  <dcterms:modified xsi:type="dcterms:W3CDTF">2023-04-05T02:31:00Z</dcterms:modified>
</cp:coreProperties>
</file>