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642"/>
      </w:tblGrid>
      <w:tr w:rsidR="0047637F" w:rsidTr="00C96ADA">
        <w:trPr>
          <w:trHeight w:val="1692"/>
        </w:trPr>
        <w:tc>
          <w:tcPr>
            <w:tcW w:w="4785" w:type="dxa"/>
          </w:tcPr>
          <w:p w:rsidR="00884893" w:rsidRDefault="0047637F" w:rsidP="00873A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47637F" w:rsidRPr="0047637F" w:rsidRDefault="0047637F" w:rsidP="00401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DF7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 xml:space="preserve">БАРГУЗИНСКИЙ </w:t>
            </w:r>
          </w:p>
          <w:p w:rsidR="0047637F" w:rsidRPr="00884893" w:rsidRDefault="0047637F" w:rsidP="00DF7A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37F">
              <w:rPr>
                <w:rFonts w:ascii="Times New Roman" w:hAnsi="Times New Roman" w:cs="Times New Roman"/>
                <w:sz w:val="24"/>
                <w:szCs w:val="24"/>
              </w:rPr>
              <w:t>РАЙОННЫЙ КОМИТЕТ ИМУЩЕСТВЕННЫХ ОТНОШЕНИЙ</w:t>
            </w:r>
          </w:p>
        </w:tc>
        <w:tc>
          <w:tcPr>
            <w:tcW w:w="4786" w:type="dxa"/>
          </w:tcPr>
          <w:p w:rsidR="0047637F" w:rsidRDefault="00DF7A55" w:rsidP="0040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59264" behindDoc="0" locked="0" layoutInCell="0" allowOverlap="1" wp14:anchorId="34B98A53" wp14:editId="4CFC5823">
                  <wp:simplePos x="0" y="0"/>
                  <wp:positionH relativeFrom="page">
                    <wp:posOffset>1518285</wp:posOffset>
                  </wp:positionH>
                  <wp:positionV relativeFrom="paragraph">
                    <wp:posOffset>-2540</wp:posOffset>
                  </wp:positionV>
                  <wp:extent cx="653303" cy="959224"/>
                  <wp:effectExtent l="19050" t="0" r="0" b="0"/>
                  <wp:wrapNone/>
                  <wp:docPr id="7" name="Рисунок 8" descr="Утвержде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Утвержде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3303" cy="9592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637F" w:rsidRPr="00DF7A55" w:rsidTr="00C96ADA">
        <w:tc>
          <w:tcPr>
            <w:tcW w:w="9571" w:type="dxa"/>
            <w:gridSpan w:val="2"/>
          </w:tcPr>
          <w:p w:rsidR="0047637F" w:rsidRPr="00DF7A55" w:rsidRDefault="00D01E33" w:rsidP="0047637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35560</wp:posOffset>
                      </wp:positionV>
                      <wp:extent cx="5988685" cy="0"/>
                      <wp:effectExtent l="20320" t="20320" r="20320" b="1778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FE7C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1.7pt;margin-top:2.8pt;width:471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lkcsQIAAK8FAAAOAAAAZHJzL2Uyb0RvYy54bWysVFGPmzAMfp+0/xDlnQNa2lJ09NSjdC+3&#10;7aS7ac8pCSUaJChJS6tp/31OKKy9vUzTtRKKndj+bH/2/cOpqdGRKc2lSHF4F2DERCEpF/sUf3vd&#10;ejFG2hBBSS0FS/GZafyw+vjhvmsTNpGVrClTCJwInXRtiitj2sT3dVGxhug72TIBl6VUDTEgqr1P&#10;FenAe1P7kyCY+51UtFWyYFqDdtNf4pXzX5asMF/LUjOD6hQDNuO+yn139uuv7kmyV6SteHGBQf4D&#10;RUO4gKCjqw0xBB0U/8tVwwsltSzNXSEbX5YlL5jLAbIJgzfZvFSkZS4XKI5uxzLp93NbfDk+K8Rp&#10;iicYCdJAi9YHI11kNLXl6VqdwKtMPCubYHESL+2TLH5oJGRWEbFn7vHruQXb0Fr4NyZW0C0E2XWf&#10;JYU3BPy7Wp1K1ViXUAV0ci05jy1hJ4MKUM6WcTyPZxgVw51PksGwVdp8YrJB9pBibRTh+8pkUgho&#10;vFShC0OOT9pYWCQZDGxUIbe8rl3/a4G6FE/DxSxwFlrWnNpb+85RkWW1QkcCJDKniXtTHxpIp9fN&#10;A/j1VAI1EK5XR4MaIo9eHI6bAEoeBHU4KkZofjkbwuv+DNa1sEiY43OfDEgnA0enh1o5rv1cBss8&#10;zuPIiybz3IuCzcZbb7PIm28ht810k2Wb8JeFH0ZJxSllwmY58D6M/o1XlwnsGTsyf6ynf+vdJQxg&#10;b5Gut7NgEU1jb7GYTb1omgfeY7zNvHUWzueL/DF7zN8gzV32+n3AjqW0qOTBMPVS0Q5Rbnk0nS0n&#10;IQYB9sRkYZsIm4PUe1hwhVEYKWm+c1M52lvCWh9a7XcjR4Cx8HejcOW9L8TQQyuNXbjk9qdU0POh&#10;v26a7AD1o7iT9PyshimDreCMLhvMrp1rGc7Xe3b1GwAA//8DAFBLAwQUAAYACAAAACEAMgejk94A&#10;AAAGAQAADwAAAGRycy9kb3ducmV2LnhtbEyOTUvDQBRF90L/w/AEd+2kja02ZlL8QBDsxiqIu5fM&#10;MwnJvAmZaZr21zu6scvLvZx70s1oWjFQ72rLCuazCARxYXXNpYKP9+fpLQjnkTW2lknBkRxssslF&#10;iom2B36jYedLESDsElRQed8lUrqiIoNuZjvi0H3b3qAPsS+l7vEQ4KaViyhaSYM1h4cKO3qsqGh2&#10;e6PgKfpa4pG2ZsgfXl5Pp7qJP+eNUleX4/0dCE+j/x/Dr35Qhyw45XbP2olWwTS+DksFyxWIUK/j&#10;9Q2I/C/LLJXn+tkPAAAA//8DAFBLAQItABQABgAIAAAAIQC2gziS/gAAAOEBAAATAAAAAAAAAAAA&#10;AAAAAAAAAABbQ29udGVudF9UeXBlc10ueG1sUEsBAi0AFAAGAAgAAAAhADj9If/WAAAAlAEAAAsA&#10;AAAAAAAAAAAAAAAALwEAAF9yZWxzLy5yZWxzUEsBAi0AFAAGAAgAAAAhADPuWRyxAgAArwUAAA4A&#10;AAAAAAAAAAAAAAAALgIAAGRycy9lMm9Eb2MueG1sUEsBAi0AFAAGAAgAAAAhADIHo5PeAAAABgEA&#10;AA8AAAAAAAAAAAAAAAAACwUAAGRycy9kb3ducmV2LnhtbFBLBQYAAAAABAAEAPMAAAAWBgAAAAA=&#10;" strokecolor="#548dd4 [1951]" strokeweight="2.5pt">
                      <v:shadow color="#868686"/>
                    </v:shape>
                  </w:pict>
                </mc:Fallback>
              </mc:AlternateContent>
            </w:r>
            <w:r w:rsidRPr="00DF7A55">
              <w:rPr>
                <w:rFonts w:ascii="Times New Roman" w:hAnsi="Times New Roman" w:cs="Times New Roman"/>
                <w:noProof/>
                <w:sz w:val="23"/>
                <w:szCs w:val="23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-1905</wp:posOffset>
                      </wp:positionV>
                      <wp:extent cx="5988685" cy="0"/>
                      <wp:effectExtent l="19685" t="20955" r="2095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886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FEDC1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74" id="AutoShape 2" o:spid="_x0000_s1026" type="#_x0000_t32" style="position:absolute;margin-left:-2.5pt;margin-top:-.15pt;width:47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cRtmQIAAHUFAAAOAAAAZHJzL2Uyb0RvYy54bWysVE2PmzAQvVfqf7B8Z4GEJAQtWWWB9LJt&#10;V9qtenawCVbBRrYTElX97x07gSbbS1UtSJY/Zp7fzLzx/cOxbdCBKc2lSHF4F2DERCkpF7sUf3vd&#10;eDFG2hBBSSMFS/GJafyw+vjhvu8SNpG1bChTCECETvouxbUxXeL7uqxZS/Sd7JiAw0qqlhhYqp1P&#10;FekBvW38SRDM/V4q2ilZMq1hNz8f4pXDrypWmq9VpZlBTYqBm3GjcuPWjv7qniQ7Rbqalxca5D9Y&#10;tIQLuHSEyokhaK/4X1AtL5XUsjJ3pWx9WVW8ZC4GiCYM3kTzUpOOuVggObob06TfD7b8cnhWiFOo&#10;HUaCtFCi9d5IdzOa2PT0nU7AKhPPygZYHsVL9yTLHxoJmdVE7Jgzfj114BtaD//GxS50B5ds+8+S&#10;gg0BfJerY6VaCwlZQEdXktNYEnY0qITN2TKO5/EMo3I480kyOHZKm09MtshOUqyNInxXm0wKAYWX&#10;KnTXkMOTNpYWSQYHe6uQG940rv6NQH2Kp+FiFjgPLRtO7am102q3zRqFDgQktCnyLHSqAbQbMyX3&#10;gjq0mhFaXOaG8OY8B/tGWDzmVHmmBKujganbh4idYn4ug2URF3HkRZN54UVBnnvrTRZ58w0wzKd5&#10;luXhL0s0jJKaU8qE5TqoN4z+TR2XPjrrbtTvmBX/Ft2lD8jeMl1vZsEimsbeYjGbetG0CLzHeJN5&#10;6yyczxfFY/ZYvGFauOj1+5AdU2lZyb1h6qWmPaLcqmE6W05A05RDt08Wgf0wIs0OnqnSKIyUNN+5&#10;qZ14rewsxk2tQXfwO0FfoZ8TMdTQrsYqXGL7kyqo+VBf1xO2Dc4NtZX09KyGXoHedk6Xd8g+Htdr&#10;mF+/lqvfAAAA//8DAFBLAwQUAAYACAAAACEAXsWbMd4AAAAGAQAADwAAAGRycy9kb3ducmV2Lnht&#10;bEyPzU7DMBCE70i8g7VI3FonVKA2jVNFSPxIXGjDgd6ceEki4nVku23g6Vl6gdNoNKuZb/PNZAdx&#10;RB96RwrSeQICqXGmp1bBW/UwW4IIUZPRgyNU8IUBNsXlRa4z4060xeMutoJLKGRaQRfjmEkZmg6t&#10;DnM3InH24bzVka1vpfH6xOV2kDdJciet7okXOj3ifYfN5+5gFfiXofp2z6+P+3q7Squycr58elfq&#10;+moq1yAiTvHvGH7xGR0KZqrdgUwQg4LZLb8SWRcgOF4tlimI+uxlkcv/+MUPAAAA//8DAFBLAQIt&#10;ABQABgAIAAAAIQC2gziS/gAAAOEBAAATAAAAAAAAAAAAAAAAAAAAAABbQ29udGVudF9UeXBlc10u&#10;eG1sUEsBAi0AFAAGAAgAAAAhADj9If/WAAAAlAEAAAsAAAAAAAAAAAAAAAAALwEAAF9yZWxzLy5y&#10;ZWxzUEsBAi0AFAAGAAgAAAAhAFk1xG2ZAgAAdQUAAA4AAAAAAAAAAAAAAAAALgIAAGRycy9lMm9E&#10;b2MueG1sUEsBAi0AFAAGAAgAAAAhAF7FmzHeAAAABgEAAA8AAAAAAAAAAAAAAAAA8wQAAGRycy9k&#10;b3ducmV2LnhtbFBLBQYAAAAABAAEAPMAAAD+BQAAAAA=&#10;" strokecolor="#fedc10" strokeweight="2.5pt">
                      <v:shadow color="#868686"/>
                    </v:shape>
                  </w:pict>
                </mc:Fallback>
              </mc:AlternateConten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>671610, Российская Федерация, Республика Бурятия, Баргузинский район, с. Баргузин,</w:t>
            </w:r>
          </w:p>
          <w:p w:rsidR="0047637F" w:rsidRPr="00DF7A55" w:rsidRDefault="0047637F" w:rsidP="00401500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DF7A55">
              <w:rPr>
                <w:rFonts w:ascii="Times New Roman" w:hAnsi="Times New Roman" w:cs="Times New Roman"/>
                <w:sz w:val="23"/>
                <w:szCs w:val="23"/>
              </w:rPr>
              <w:t xml:space="preserve">ул. Ленина, дом 19, телефоны: 8(30131)42-206, факс: 8(30131)41-580,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de-DE" w:eastAsia="ru-RU"/>
              </w:rPr>
              <w:t>e-mail: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kio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barguzin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@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mail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DF7A55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ru</w:t>
            </w:r>
          </w:p>
        </w:tc>
      </w:tr>
      <w:tr w:rsidR="00884893" w:rsidRPr="00DF7A55" w:rsidTr="00C96ADA">
        <w:tc>
          <w:tcPr>
            <w:tcW w:w="9571" w:type="dxa"/>
            <w:gridSpan w:val="2"/>
          </w:tcPr>
          <w:p w:rsidR="00884893" w:rsidRPr="00DF7A55" w:rsidRDefault="00884893" w:rsidP="00884893">
            <w:pPr>
              <w:rPr>
                <w:rFonts w:ascii="Times New Roman" w:hAnsi="Times New Roman" w:cs="Times New Roman"/>
                <w:b/>
                <w:noProof/>
                <w:sz w:val="23"/>
                <w:szCs w:val="23"/>
                <w:lang w:eastAsia="ru-RU"/>
              </w:rPr>
            </w:pPr>
          </w:p>
        </w:tc>
      </w:tr>
    </w:tbl>
    <w:p w:rsidR="00C96ADA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Приказ</w:t>
      </w:r>
    </w:p>
    <w:p w:rsidR="00873A2C" w:rsidRPr="00DF7A55" w:rsidRDefault="00D01E33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  <w:r w:rsidRPr="00DF7A55">
        <w:rPr>
          <w:rFonts w:ascii="Times New Roman" w:hAnsi="Times New Roman" w:cs="Times New Roman"/>
          <w:sz w:val="23"/>
          <w:szCs w:val="23"/>
        </w:rPr>
        <w:t>О</w:t>
      </w:r>
      <w:r w:rsidR="00873A2C" w:rsidRPr="00DF7A55">
        <w:rPr>
          <w:rFonts w:ascii="Times New Roman" w:hAnsi="Times New Roman" w:cs="Times New Roman"/>
          <w:sz w:val="23"/>
          <w:szCs w:val="23"/>
        </w:rPr>
        <w:t>т</w:t>
      </w:r>
      <w:r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5B3F19">
        <w:rPr>
          <w:rFonts w:ascii="Times New Roman" w:hAnsi="Times New Roman" w:cs="Times New Roman"/>
          <w:sz w:val="23"/>
          <w:szCs w:val="23"/>
        </w:rPr>
        <w:t>28</w:t>
      </w:r>
      <w:r w:rsidR="001464F2">
        <w:rPr>
          <w:rFonts w:ascii="Times New Roman" w:hAnsi="Times New Roman" w:cs="Times New Roman"/>
          <w:sz w:val="23"/>
          <w:szCs w:val="23"/>
        </w:rPr>
        <w:t xml:space="preserve"> </w:t>
      </w:r>
      <w:r w:rsidR="00CF454C">
        <w:rPr>
          <w:rFonts w:ascii="Times New Roman" w:hAnsi="Times New Roman" w:cs="Times New Roman"/>
          <w:sz w:val="23"/>
          <w:szCs w:val="23"/>
        </w:rPr>
        <w:t>августа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20</w:t>
      </w:r>
      <w:r w:rsidRPr="00DF7A55">
        <w:rPr>
          <w:rFonts w:ascii="Times New Roman" w:hAnsi="Times New Roman" w:cs="Times New Roman"/>
          <w:sz w:val="23"/>
          <w:szCs w:val="23"/>
        </w:rPr>
        <w:t>2</w:t>
      </w:r>
      <w:r w:rsidR="00E47416">
        <w:rPr>
          <w:rFonts w:ascii="Times New Roman" w:hAnsi="Times New Roman" w:cs="Times New Roman"/>
          <w:sz w:val="23"/>
          <w:szCs w:val="23"/>
        </w:rPr>
        <w:t>4</w:t>
      </w:r>
      <w:r w:rsidR="00873A2C" w:rsidRPr="00DF7A55">
        <w:rPr>
          <w:rFonts w:ascii="Times New Roman" w:hAnsi="Times New Roman" w:cs="Times New Roman"/>
          <w:sz w:val="23"/>
          <w:szCs w:val="23"/>
        </w:rPr>
        <w:t xml:space="preserve"> года</w:t>
      </w:r>
      <w:r w:rsidR="0068120A" w:rsidRPr="00DF7A55">
        <w:rPr>
          <w:rFonts w:ascii="Times New Roman" w:hAnsi="Times New Roman" w:cs="Times New Roman"/>
          <w:sz w:val="23"/>
          <w:szCs w:val="23"/>
        </w:rPr>
        <w:t xml:space="preserve"> </w:t>
      </w:r>
      <w:r w:rsidR="00695032" w:rsidRPr="00DF7A55">
        <w:rPr>
          <w:rFonts w:ascii="Times New Roman" w:hAnsi="Times New Roman" w:cs="Times New Roman"/>
          <w:sz w:val="23"/>
          <w:szCs w:val="23"/>
        </w:rPr>
        <w:t xml:space="preserve">№ </w:t>
      </w:r>
      <w:r w:rsidR="00922A09">
        <w:rPr>
          <w:rFonts w:ascii="Times New Roman" w:hAnsi="Times New Roman" w:cs="Times New Roman"/>
          <w:sz w:val="23"/>
          <w:szCs w:val="23"/>
        </w:rPr>
        <w:t>69-П</w:t>
      </w:r>
    </w:p>
    <w:p w:rsidR="00873A2C" w:rsidRPr="00DF7A55" w:rsidRDefault="00873A2C" w:rsidP="00873A2C">
      <w:pPr>
        <w:pStyle w:val="a6"/>
        <w:ind w:right="-142" w:firstLine="708"/>
        <w:jc w:val="center"/>
        <w:rPr>
          <w:rFonts w:ascii="Times New Roman" w:hAnsi="Times New Roman" w:cs="Times New Roman"/>
          <w:sz w:val="23"/>
          <w:szCs w:val="23"/>
        </w:rPr>
      </w:pPr>
    </w:p>
    <w:p w:rsidR="005B3F19" w:rsidRPr="005B3F19" w:rsidRDefault="0037153F" w:rsidP="005B3F19">
      <w:pPr>
        <w:pStyle w:val="Standard"/>
        <w:suppressAutoHyphens w:val="0"/>
        <w:ind w:firstLine="709"/>
        <w:jc w:val="center"/>
        <w:rPr>
          <w:rFonts w:cs="Times New Roman"/>
        </w:rPr>
      </w:pPr>
      <w:bookmarkStart w:id="0" w:name="_GoBack"/>
      <w:r w:rsidRPr="00A11CE7">
        <w:rPr>
          <w:rFonts w:cs="Times New Roman"/>
          <w:bCs/>
          <w:color w:val="000000"/>
          <w:spacing w:val="-6"/>
          <w:w w:val="102"/>
        </w:rPr>
        <w:t xml:space="preserve">О </w:t>
      </w:r>
      <w:r w:rsidRPr="00A11CE7">
        <w:rPr>
          <w:rFonts w:cs="Times New Roman"/>
          <w:bCs/>
          <w:color w:val="000000"/>
          <w:spacing w:val="-5"/>
          <w:w w:val="102"/>
        </w:rPr>
        <w:t xml:space="preserve">внесении </w:t>
      </w:r>
      <w:r w:rsidR="00114F2E" w:rsidRPr="00A11CE7">
        <w:rPr>
          <w:rFonts w:cs="Times New Roman"/>
          <w:bCs/>
          <w:color w:val="000000"/>
          <w:spacing w:val="-5"/>
          <w:w w:val="102"/>
        </w:rPr>
        <w:t>изменений</w:t>
      </w:r>
      <w:r w:rsidR="00114F2E" w:rsidRPr="00A11CE7">
        <w:rPr>
          <w:rFonts w:eastAsia="Times New Roman" w:cs="Times New Roman"/>
          <w:lang w:eastAsia="ru-RU"/>
        </w:rPr>
        <w:t xml:space="preserve"> в конкурсную</w:t>
      </w:r>
      <w:r w:rsidR="00207596" w:rsidRPr="00A11CE7">
        <w:rPr>
          <w:rFonts w:eastAsia="Times New Roman" w:cs="Times New Roman"/>
          <w:lang w:eastAsia="ru-RU"/>
        </w:rPr>
        <w:t xml:space="preserve"> </w:t>
      </w:r>
      <w:r w:rsidR="005030B4" w:rsidRPr="00A11CE7">
        <w:rPr>
          <w:rFonts w:eastAsia="Times New Roman" w:cs="Times New Roman"/>
          <w:lang w:eastAsia="ru-RU"/>
        </w:rPr>
        <w:t>документаци</w:t>
      </w:r>
      <w:r w:rsidRPr="00A11CE7">
        <w:rPr>
          <w:rFonts w:eastAsia="Times New Roman" w:cs="Times New Roman"/>
          <w:lang w:eastAsia="ru-RU"/>
        </w:rPr>
        <w:t>ю</w:t>
      </w:r>
      <w:r w:rsidR="005030B4" w:rsidRPr="00A11CE7">
        <w:rPr>
          <w:rFonts w:eastAsia="Times New Roman" w:cs="Times New Roman"/>
          <w:lang w:eastAsia="ru-RU"/>
        </w:rPr>
        <w:t xml:space="preserve"> </w:t>
      </w:r>
      <w:r w:rsidR="001464F2" w:rsidRPr="00A11CE7">
        <w:rPr>
          <w:rFonts w:cs="Times New Roman"/>
          <w:color w:val="000000"/>
        </w:rPr>
        <w:t xml:space="preserve">по проведению открытого конкурса на право заключения концессионного соглашения </w:t>
      </w:r>
      <w:bookmarkStart w:id="1" w:name="__RefHeading__23283_451582324"/>
      <w:r w:rsidR="005B3F19" w:rsidRPr="005B3F19">
        <w:rPr>
          <w:rFonts w:cs="Times New Roman"/>
        </w:rPr>
        <w:t>в отношении объектов теплоснабжения, отдельных объектов таких систем, расположенных на территории М</w:t>
      </w:r>
      <w:bookmarkEnd w:id="0"/>
      <w:r w:rsidR="005B3F19" w:rsidRPr="005B3F19">
        <w:rPr>
          <w:rFonts w:cs="Times New Roman"/>
        </w:rPr>
        <w:t>О ГП «Усть-Баргузин» Баргузинского района Республики Бурятия</w:t>
      </w:r>
      <w:bookmarkEnd w:id="1"/>
    </w:p>
    <w:p w:rsidR="005B3F19" w:rsidRPr="005B3F19" w:rsidRDefault="005B3F19" w:rsidP="005B3F19">
      <w:pPr>
        <w:spacing w:after="0" w:line="240" w:lineRule="auto"/>
        <w:ind w:firstLine="664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D01E33" w:rsidRPr="00A11CE7" w:rsidRDefault="0037153F" w:rsidP="00A11CE7">
      <w:pPr>
        <w:pStyle w:val="Standard"/>
        <w:suppressAutoHyphens w:val="0"/>
        <w:ind w:firstLine="709"/>
        <w:jc w:val="both"/>
        <w:rPr>
          <w:rFonts w:cs="Times New Roman"/>
          <w:sz w:val="22"/>
          <w:szCs w:val="22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21.07.2005 г. № 115-ФЗ «О концессионных соглашениях», Федеральным законом от 27.07.2010 г. № 190-ФЗ «О теплоснабжении», Федеральным законом от 07.12.2011 г. № 416-ФЗ «О водоснабжении и водоотведении»</w:t>
      </w:r>
      <w:r w:rsidR="00D01E33" w:rsidRPr="00A11CE7">
        <w:rPr>
          <w:rFonts w:cs="Times New Roman"/>
          <w:sz w:val="22"/>
          <w:szCs w:val="22"/>
        </w:rPr>
        <w:t xml:space="preserve">: </w:t>
      </w:r>
    </w:p>
    <w:p w:rsidR="0037153F" w:rsidRPr="00A11CE7" w:rsidRDefault="0037153F" w:rsidP="00A11CE7">
      <w:pPr>
        <w:numPr>
          <w:ilvl w:val="0"/>
          <w:numId w:val="4"/>
        </w:numPr>
        <w:spacing w:after="0" w:line="240" w:lineRule="auto"/>
        <w:ind w:right="143" w:hanging="311"/>
        <w:jc w:val="both"/>
        <w:rPr>
          <w:rFonts w:ascii="Times New Roman" w:eastAsia="Times New Roman" w:hAnsi="Times New Roman" w:cs="Times New Roman"/>
          <w:lang w:eastAsia="ru-RU"/>
        </w:rPr>
      </w:pPr>
      <w:r w:rsidRPr="00A11CE7">
        <w:rPr>
          <w:rFonts w:ascii="Times New Roman" w:eastAsia="Times New Roman" w:hAnsi="Times New Roman" w:cs="Times New Roman"/>
          <w:lang w:eastAsia="ru-RU"/>
        </w:rPr>
        <w:t>Внести изменения:</w:t>
      </w:r>
    </w:p>
    <w:p w:rsidR="0037153F" w:rsidRPr="00A11CE7" w:rsidRDefault="0037153F" w:rsidP="00A11CE7">
      <w:pPr>
        <w:pStyle w:val="Standard"/>
        <w:numPr>
          <w:ilvl w:val="1"/>
          <w:numId w:val="4"/>
        </w:numPr>
        <w:ind w:left="0"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Пункт 9.1 раздела 9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Заявка должна быть представлена в Конкурсную комиссию по адресу: 671610 Республика Бурятия, Баргузинский район, с.Баргузин, ул. Ленина, 19, кабинет руководителя, в рабочие дни начиная с «18» июля 2024г. по «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09</w:t>
      </w:r>
      <w:r w:rsidRPr="00A11CE7">
        <w:rPr>
          <w:rFonts w:eastAsia="Times New Roman" w:cs="Times New Roman"/>
          <w:sz w:val="22"/>
          <w:szCs w:val="22"/>
          <w:lang w:eastAsia="ru-RU"/>
        </w:rPr>
        <w:t>» октября 2024г,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1.2.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13.1 раздела 13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Задаток в обеспечение исполнения обязательства по заключению концессионного соглашения составляет 200 000,00 руб.. вносится до 16 час 30 мин. 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09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октября 2024г. на счет: 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Р/с 40102810545370000068 в Отделение-НБ Республики Бурятия Банка России/УФК по Республике Бурятия  г. Улан-Удэ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БИК 018142016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ИНН 0301002668 КПП 030101001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ЕС 03232643816030000200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ЕКС 40102810545370000068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л/с 05023011810)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КБК 86400000000000000180;</w:t>
      </w:r>
    </w:p>
    <w:p w:rsidR="0037153F" w:rsidRPr="00A11CE7" w:rsidRDefault="0037153F" w:rsidP="00A11CE7">
      <w:pPr>
        <w:pStyle w:val="Standard"/>
        <w:numPr>
          <w:ilvl w:val="1"/>
          <w:numId w:val="4"/>
        </w:numPr>
        <w:ind w:left="0" w:firstLine="660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Пункт 15.1 раздела 15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>Конкурсное предложение должно быть оформлено Участниками конкурса в соответствии с требованиями Конкурсной документации и представлено по адресу: 671610 Республика Бурятия, Баргузинский район, с.Баргузин, ул. Ленина, 19, кабинет руководителя, в рабочие дни начиная с «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15</w:t>
      </w:r>
      <w:r w:rsidRPr="00A11CE7">
        <w:rPr>
          <w:rFonts w:eastAsia="Times New Roman" w:cs="Times New Roman"/>
          <w:sz w:val="22"/>
          <w:szCs w:val="22"/>
          <w:lang w:eastAsia="ru-RU"/>
        </w:rPr>
        <w:t>» октября 2024г. по «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15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» 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января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202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A11CE7">
        <w:rPr>
          <w:rFonts w:eastAsia="Times New Roman" w:cs="Times New Roman"/>
          <w:sz w:val="22"/>
          <w:szCs w:val="22"/>
          <w:lang w:eastAsia="ru-RU"/>
        </w:rPr>
        <w:t>г, с 8 час. 00 мин. до 17 час. 00 мин. по местному времени, пятница с 8 час. 00 мин. до 16 час. 00 мин. по местному времени, кроме перерыва на обед с 12 час.00 мин. до 13 час. 30 мин;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1.4.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Пункт 17.1 раздела 17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       Конверты с Заявками вскрываются на заседании Конкурсной комиссии по адресу: 671610 Республика Бурятия, Баргузинский район, с.Баргузин, ул.Ленина, 19, кабинет руководителя в 14.00 час. 00 мин. по местному времени «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10</w:t>
      </w:r>
      <w:r w:rsidRPr="00A11CE7">
        <w:rPr>
          <w:rFonts w:eastAsia="Times New Roman" w:cs="Times New Roman"/>
          <w:sz w:val="22"/>
          <w:szCs w:val="22"/>
          <w:lang w:eastAsia="ru-RU"/>
        </w:rPr>
        <w:t>» октября 2024 года;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1.5.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Абзац 1, пункта 18.1 раздела 18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Конкурсная комиссия по адресу: 671610 Республика Бурятия, Баргузинский район, </w:t>
      </w:r>
      <w:r w:rsidRPr="00A11CE7">
        <w:rPr>
          <w:rFonts w:eastAsia="Times New Roman" w:cs="Times New Roman"/>
          <w:sz w:val="22"/>
          <w:szCs w:val="22"/>
          <w:lang w:eastAsia="ru-RU"/>
        </w:rPr>
        <w:lastRenderedPageBreak/>
        <w:t>с.Баргузин, ул.Ленина, 19, кабинет руководителя «</w:t>
      </w:r>
      <w:r w:rsidR="005B3F19">
        <w:rPr>
          <w:rFonts w:eastAsia="Times New Roman" w:cs="Times New Roman"/>
          <w:sz w:val="22"/>
          <w:szCs w:val="22"/>
          <w:lang w:val="ru-RU" w:eastAsia="ru-RU"/>
        </w:rPr>
        <w:t>10</w:t>
      </w:r>
      <w:r w:rsidRPr="00A11CE7">
        <w:rPr>
          <w:rFonts w:eastAsia="Times New Roman" w:cs="Times New Roman"/>
          <w:sz w:val="22"/>
          <w:szCs w:val="22"/>
          <w:lang w:eastAsia="ru-RU"/>
        </w:rPr>
        <w:t>» октября 2024 года., определяет: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1.6. 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19.1 раздела 19 конкурсной документации изложить в следующей редакции: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eastAsia="ru-RU"/>
        </w:rPr>
        <w:t xml:space="preserve">       Конверты с Конкурсными предложениями вскрываются на заседании Конкурсной комиссии по адресу:  671610 Республика Бурятия, Баргузинский район, с.Баргузин, ул.Ленина, 19, кабинет руководителя в 14.00 час. 00 мин. по местному времени «</w:t>
      </w:r>
      <w:r w:rsidR="00C92015">
        <w:rPr>
          <w:rFonts w:eastAsia="Times New Roman" w:cs="Times New Roman"/>
          <w:sz w:val="22"/>
          <w:szCs w:val="22"/>
          <w:lang w:val="ru-RU" w:eastAsia="ru-RU"/>
        </w:rPr>
        <w:t>16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» </w:t>
      </w:r>
      <w:r w:rsidR="00C92015">
        <w:rPr>
          <w:rFonts w:eastAsia="Times New Roman" w:cs="Times New Roman"/>
          <w:sz w:val="22"/>
          <w:szCs w:val="22"/>
          <w:lang w:val="ru-RU" w:eastAsia="ru-RU"/>
        </w:rPr>
        <w:t>января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202</w:t>
      </w:r>
      <w:r w:rsidR="00C92015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года;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1.7. 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>Пункт 34 в проекте концессионного соглашения (приложение № 1 к конкурсной документации) излож</w:t>
      </w:r>
      <w:r w:rsidR="0037153F"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редакции; </w:t>
      </w:r>
    </w:p>
    <w:p w:rsidR="0037153F" w:rsidRPr="00A11CE7" w:rsidRDefault="0037153F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 xml:space="preserve">Предельный размер расходов на реконструкцию объекта Соглашения, осуществляемых в течение всего срока действия Соглашения Концессионером, равен </w:t>
      </w:r>
      <w:r w:rsidR="005B3F19" w:rsidRPr="005B3F19">
        <w:rPr>
          <w:rFonts w:eastAsia="Times New Roman" w:cs="Times New Roman"/>
          <w:kern w:val="0"/>
          <w:lang w:val="ru-RU" w:eastAsia="ru-RU" w:bidi="ar-SA"/>
        </w:rPr>
        <w:t>6 299 500,00</w:t>
      </w:r>
      <w:r w:rsidR="005B3F19" w:rsidRPr="005B3F19">
        <w:rPr>
          <w:rFonts w:eastAsia="Times New Roman" w:cs="Times New Roman"/>
          <w:b/>
          <w:kern w:val="0"/>
          <w:lang w:val="ru-RU" w:eastAsia="ru-RU" w:bidi="ar-SA"/>
        </w:rPr>
        <w:t xml:space="preserve"> </w:t>
      </w:r>
      <w:r w:rsidR="005B3F19" w:rsidRPr="005B3F19">
        <w:rPr>
          <w:rFonts w:eastAsia="Times New Roman" w:cs="Times New Roman"/>
          <w:bCs/>
          <w:color w:val="000000"/>
          <w:spacing w:val="-6"/>
          <w:w w:val="102"/>
          <w:kern w:val="0"/>
          <w:lang w:val="ru-RU" w:eastAsia="ru-RU" w:bidi="ar-SA"/>
        </w:rPr>
        <w:t>(шесть миллионов двести девяносто девять тысяч пятьсот) рублей</w:t>
      </w:r>
      <w:r w:rsidRPr="00A11CE7">
        <w:rPr>
          <w:rFonts w:eastAsia="Times New Roman" w:cs="Times New Roman"/>
          <w:kern w:val="0"/>
          <w:sz w:val="22"/>
          <w:szCs w:val="22"/>
          <w:lang w:val="ru-RU" w:eastAsia="ru-RU" w:bidi="ar-SA"/>
        </w:rPr>
        <w:t>. Задание и основные мероприятия с описанием основных характеристик таких мероприятий приведены в приложении №3</w:t>
      </w:r>
    </w:p>
    <w:p w:rsidR="0037153F" w:rsidRPr="00A11CE7" w:rsidRDefault="00144239" w:rsidP="00A11CE7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1.8.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ab/>
        <w:t>Приложение № 3 к проекту концессионного соглашения (приложение № 1 к конкурсной документации)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="0037153F"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редакции;</w:t>
      </w:r>
    </w:p>
    <w:p w:rsidR="00144239" w:rsidRPr="00176740" w:rsidRDefault="00144239" w:rsidP="00A11CE7">
      <w:pPr>
        <w:pStyle w:val="Standard"/>
        <w:ind w:firstLine="709"/>
        <w:jc w:val="both"/>
        <w:rPr>
          <w:rFonts w:eastAsia="Times New Roman" w:cs="Times New Roman"/>
          <w:lang w:eastAsia="ru-RU"/>
        </w:rPr>
      </w:pPr>
    </w:p>
    <w:p w:rsidR="00144239" w:rsidRPr="00176740" w:rsidRDefault="00144239" w:rsidP="00144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 ПО РЕКОНСТРУКЦИИ</w:t>
      </w:r>
    </w:p>
    <w:p w:rsidR="00144239" w:rsidRPr="00176740" w:rsidRDefault="0014423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концессионного соглашения  </w:t>
      </w:r>
    </w:p>
    <w:p w:rsidR="005B3F19" w:rsidRPr="00176740" w:rsidRDefault="005B3F19" w:rsidP="0014423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024"/>
        <w:gridCol w:w="1109"/>
        <w:gridCol w:w="1092"/>
        <w:gridCol w:w="1445"/>
        <w:gridCol w:w="2412"/>
      </w:tblGrid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Ед.изм.</w:t>
            </w:r>
          </w:p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(тыс.руб)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сроки создания ввода объекта</w:t>
            </w:r>
          </w:p>
        </w:tc>
      </w:tr>
      <w:tr w:rsidR="005B3F19" w:rsidRPr="00176740" w:rsidTr="00E40B81">
        <w:tc>
          <w:tcPr>
            <w:tcW w:w="9593" w:type="dxa"/>
            <w:gridSpan w:val="6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ГП «Усть-Баргузин»</w:t>
            </w:r>
          </w:p>
        </w:tc>
      </w:tr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82" w:type="dxa"/>
            <w:gridSpan w:val="5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  <w:t>Кап. ремонт участков тепловой сети:</w:t>
            </w:r>
          </w:p>
        </w:tc>
      </w:tr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ТК1-ТК2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445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1 596,8 </w:t>
            </w:r>
          </w:p>
        </w:tc>
        <w:tc>
          <w:tcPr>
            <w:tcW w:w="2410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</w:tr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ТК2 – ТК3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35,35</w:t>
            </w:r>
          </w:p>
        </w:tc>
        <w:tc>
          <w:tcPr>
            <w:tcW w:w="1445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968, 2</w:t>
            </w:r>
          </w:p>
        </w:tc>
        <w:tc>
          <w:tcPr>
            <w:tcW w:w="2410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</w:tr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76740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ТК2 – ТК4 От поворота на ул. Оцимика до поворота на ул. Кооперативная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136,35 </w:t>
            </w:r>
          </w:p>
        </w:tc>
        <w:tc>
          <w:tcPr>
            <w:tcW w:w="1445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3 734,5</w:t>
            </w:r>
          </w:p>
        </w:tc>
        <w:tc>
          <w:tcPr>
            <w:tcW w:w="2410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sz w:val="24"/>
                <w:szCs w:val="24"/>
              </w:rPr>
              <w:t>2026-2029</w:t>
            </w:r>
          </w:p>
        </w:tc>
      </w:tr>
      <w:tr w:rsidR="005B3F19" w:rsidRPr="00176740" w:rsidTr="00E40B81">
        <w:tc>
          <w:tcPr>
            <w:tcW w:w="511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 w:bidi="en-US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shd w:val="clear" w:color="auto" w:fill="auto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7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6 299,50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3F19" w:rsidRPr="00176740" w:rsidRDefault="005B3F19" w:rsidP="005B3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5327" w:rsidRPr="00176740" w:rsidRDefault="00114F2E" w:rsidP="00114F2E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767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Источник финансирования: собственные средства </w:t>
      </w:r>
      <w:r w:rsidR="00144239" w:rsidRPr="00176740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144239" w:rsidRPr="00A11CE7" w:rsidRDefault="00144239" w:rsidP="00114F2E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1.9. </w:t>
      </w:r>
      <w:r w:rsidRPr="00A11CE7">
        <w:rPr>
          <w:rFonts w:eastAsia="Times New Roman" w:cs="Times New Roman"/>
          <w:sz w:val="22"/>
          <w:szCs w:val="22"/>
          <w:lang w:eastAsia="ru-RU"/>
        </w:rPr>
        <w:t>Приложение № 3 к конкурсной документации)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5B3F19" w:rsidRDefault="00144239" w:rsidP="005B3F19">
      <w:pPr>
        <w:pStyle w:val="Standard"/>
        <w:suppressAutoHyphens w:val="0"/>
        <w:ind w:firstLine="709"/>
        <w:jc w:val="both"/>
        <w:rPr>
          <w:rFonts w:cs="Times New Roman"/>
        </w:rPr>
      </w:pPr>
      <w:r w:rsidRPr="00A11CE7">
        <w:t xml:space="preserve">Критерии конкурса </w:t>
      </w:r>
      <w:r w:rsidRPr="00A11CE7">
        <w:rPr>
          <w:color w:val="000000"/>
        </w:rPr>
        <w:t xml:space="preserve">на право заключения концессионного соглашения </w:t>
      </w:r>
      <w:r w:rsidR="00114F2E" w:rsidRPr="00A11CE7">
        <w:rPr>
          <w:rFonts w:cs="Times New Roman"/>
        </w:rPr>
        <w:t xml:space="preserve">в отношении объектов теплоснабжения, отдельных объектов таких систем, </w:t>
      </w:r>
      <w:r w:rsidR="005B3F19" w:rsidRPr="005B7DB7">
        <w:rPr>
          <w:rFonts w:cs="Times New Roman"/>
        </w:rPr>
        <w:t xml:space="preserve">расположенных на территории </w:t>
      </w:r>
      <w:r w:rsidR="005B3F19">
        <w:rPr>
          <w:rFonts w:cs="Times New Roman"/>
          <w:lang w:val="ru-RU"/>
        </w:rPr>
        <w:t xml:space="preserve">МО ГП </w:t>
      </w:r>
      <w:r w:rsidR="005B3F19" w:rsidRPr="00E41518">
        <w:rPr>
          <w:rFonts w:cs="Times New Roman"/>
        </w:rPr>
        <w:t>«</w:t>
      </w:r>
      <w:r w:rsidR="005B3F19">
        <w:rPr>
          <w:rFonts w:cs="Times New Roman"/>
          <w:lang w:val="ru-RU"/>
        </w:rPr>
        <w:t>Усть-Баргузин»</w:t>
      </w:r>
      <w:r w:rsidR="005B3F19" w:rsidRPr="00E41518">
        <w:rPr>
          <w:rFonts w:cs="Times New Roman"/>
        </w:rPr>
        <w:t xml:space="preserve"> </w:t>
      </w:r>
      <w:r w:rsidR="005B3F19">
        <w:rPr>
          <w:rFonts w:cs="Times New Roman"/>
          <w:lang w:val="ru-RU"/>
        </w:rPr>
        <w:t xml:space="preserve">Баргузинского района </w:t>
      </w:r>
      <w:r w:rsidR="005B3F19" w:rsidRPr="005B7DB7">
        <w:rPr>
          <w:rFonts w:cs="Times New Roman"/>
        </w:rPr>
        <w:t>Республики Бурятия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1) предельный размер расходов на создание и (или) реконструкцию объекта концессионного соглашения, которые предполагается осуществить концессионером 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в течении срока действия концессионного соглашения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 xml:space="preserve">, без учета расходов, источником финансирования которых является плата за подключение (технологическое присоединение). 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Начальное значение критерия конкурса </w:t>
      </w:r>
      <w:r w:rsidR="00114F2E"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 </w:t>
      </w:r>
      <w:r w:rsidR="005B3F19">
        <w:rPr>
          <w:rFonts w:ascii="Times New Roman" w:eastAsia="Andale Sans UI" w:hAnsi="Times New Roman" w:cs="Tahoma"/>
          <w:kern w:val="3"/>
          <w:lang w:eastAsia="ja-JP" w:bidi="fa-IR"/>
        </w:rPr>
        <w:t>6299</w:t>
      </w:r>
      <w:r w:rsidR="00114F2E" w:rsidRPr="00A11CE7">
        <w:rPr>
          <w:rFonts w:ascii="Times New Roman" w:eastAsia="Andale Sans UI" w:hAnsi="Times New Roman" w:cs="Tahoma"/>
          <w:kern w:val="3"/>
          <w:lang w:eastAsia="ja-JP" w:bidi="fa-IR"/>
        </w:rPr>
        <w:t>,</w:t>
      </w:r>
      <w:r w:rsidR="005B3F19">
        <w:rPr>
          <w:rFonts w:ascii="Times New Roman" w:eastAsia="Andale Sans UI" w:hAnsi="Times New Roman" w:cs="Tahoma"/>
          <w:kern w:val="3"/>
          <w:lang w:eastAsia="ja-JP" w:bidi="fa-IR"/>
        </w:rPr>
        <w:t>50</w:t>
      </w:r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 xml:space="preserve"> тыс. руб.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2" w:name="Par3"/>
      <w:bookmarkEnd w:id="2"/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2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) долгосрочные параметры регулирования деятельности концессионера: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базовый уровень операционных расходов;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показатели энергосбережения и энергетической эффективности;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 нормативный уровень прибыли в случае, если конкурсной документацией предусмотрен метод индексации установленных тарифов или метод индексации.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40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bookmarkStart w:id="3" w:name="Par4"/>
      <w:bookmarkEnd w:id="3"/>
      <w:r w:rsidRPr="00A11CE7">
        <w:rPr>
          <w:rFonts w:ascii="Times New Roman" w:eastAsia="Andale Sans UI" w:hAnsi="Times New Roman" w:cs="Tahoma"/>
          <w:kern w:val="3"/>
          <w:lang w:eastAsia="ja-JP" w:bidi="fa-IR"/>
        </w:rPr>
        <w:t>3</w:t>
      </w: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) плановые значения показателей деятельности концессионера: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топлива, кг.у.т/Гкал;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удельный расход электроэнергии в сфере теплоснабжения, кВтч/Гкал;</w:t>
      </w:r>
    </w:p>
    <w:p w:rsidR="00144239" w:rsidRPr="00A11CE7" w:rsidRDefault="00144239" w:rsidP="00114F2E">
      <w:pPr>
        <w:widowControl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- уровень потерь тепловой энергии, Гкал;</w:t>
      </w:r>
    </w:p>
    <w:p w:rsidR="00144239" w:rsidRPr="00A11CE7" w:rsidRDefault="00144239" w:rsidP="00114F2E">
      <w:pPr>
        <w:pStyle w:val="Standard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sz w:val="22"/>
          <w:szCs w:val="22"/>
          <w:lang w:val="ru-RU"/>
        </w:rPr>
        <w:t xml:space="preserve">1.10 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 xml:space="preserve"> 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Приложение № 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5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к конкурсной документации излож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ить</w:t>
      </w:r>
      <w:r w:rsidRPr="00A11CE7">
        <w:rPr>
          <w:rFonts w:eastAsia="Times New Roman" w:cs="Times New Roman"/>
          <w:sz w:val="22"/>
          <w:szCs w:val="22"/>
          <w:lang w:eastAsia="ru-RU"/>
        </w:rPr>
        <w:t xml:space="preserve"> в новой редакции</w:t>
      </w:r>
      <w:r w:rsidRPr="00A11CE7">
        <w:rPr>
          <w:rFonts w:eastAsia="Times New Roman" w:cs="Times New Roman"/>
          <w:sz w:val="22"/>
          <w:szCs w:val="22"/>
          <w:lang w:val="ru-RU" w:eastAsia="ru-RU"/>
        </w:rPr>
        <w:t>:</w:t>
      </w:r>
    </w:p>
    <w:p w:rsidR="00144239" w:rsidRPr="00A11CE7" w:rsidRDefault="00144239" w:rsidP="00114F2E">
      <w:pPr>
        <w:widowControl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144239" w:rsidRDefault="0014423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A11CE7">
        <w:rPr>
          <w:rFonts w:ascii="Times New Roman" w:eastAsia="Andale Sans UI" w:hAnsi="Times New Roman" w:cs="Tahoma"/>
          <w:kern w:val="3"/>
          <w:lang w:val="de-DE" w:eastAsia="ja-JP" w:bidi="fa-IR"/>
        </w:rPr>
        <w:t>Задание и основные мероприятия по реконструкции и модернизации объектов концессионного соглашения</w:t>
      </w:r>
    </w:p>
    <w:p w:rsidR="005B3F19" w:rsidRDefault="005B3F1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5B3F19" w:rsidRDefault="005B3F1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5B3F19" w:rsidRDefault="005B3F19" w:rsidP="00144239">
      <w:pPr>
        <w:widowControl w:val="0"/>
        <w:autoSpaceDE w:val="0"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tbl>
      <w:tblPr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3024"/>
        <w:gridCol w:w="1109"/>
        <w:gridCol w:w="1092"/>
        <w:gridCol w:w="1445"/>
        <w:gridCol w:w="2412"/>
      </w:tblGrid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Arial" w:hAnsi="Times New Roman" w:cs="Times New Roman"/>
                <w:lang w:eastAsia="ar-SA"/>
              </w:rPr>
              <w:lastRenderedPageBreak/>
              <w:t>№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объекта 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Ед.изм.</w:t>
            </w:r>
          </w:p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Сумма (тыс.руб)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Предельные сроки создания ввода объекта</w:t>
            </w:r>
          </w:p>
        </w:tc>
      </w:tr>
      <w:tr w:rsidR="005B3F19" w:rsidRPr="005B3F19" w:rsidTr="00E40B81">
        <w:tc>
          <w:tcPr>
            <w:tcW w:w="9593" w:type="dxa"/>
            <w:gridSpan w:val="6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МО ГП «Усть-Баргузин»</w:t>
            </w:r>
          </w:p>
        </w:tc>
      </w:tr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9082" w:type="dxa"/>
            <w:gridSpan w:val="5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x-none" w:bidi="en-US"/>
              </w:rPr>
              <w:t>Кап. ремонт участков тепловой сети:</w:t>
            </w:r>
          </w:p>
        </w:tc>
      </w:tr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Arial" w:hAnsi="Times New Roman" w:cs="Times New Roman"/>
                <w:lang w:eastAsia="ar-SA"/>
              </w:rPr>
              <w:t>1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5B3F19">
              <w:rPr>
                <w:rFonts w:ascii="Times New Roman" w:eastAsia="Calibri" w:hAnsi="Times New Roman" w:cs="Times New Roman"/>
              </w:rPr>
              <w:t>ТК1-ТК2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58,3</w:t>
            </w:r>
          </w:p>
        </w:tc>
        <w:tc>
          <w:tcPr>
            <w:tcW w:w="1445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 xml:space="preserve">1 596,8 </w:t>
            </w:r>
          </w:p>
        </w:tc>
        <w:tc>
          <w:tcPr>
            <w:tcW w:w="2410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2026</w:t>
            </w:r>
          </w:p>
        </w:tc>
      </w:tr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Arial" w:hAnsi="Times New Roman" w:cs="Times New Roman"/>
                <w:lang w:eastAsia="ar-SA"/>
              </w:rPr>
              <w:t>2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5B3F19">
              <w:rPr>
                <w:rFonts w:ascii="Times New Roman" w:eastAsia="Calibri" w:hAnsi="Times New Roman" w:cs="Times New Roman"/>
              </w:rPr>
              <w:t>ТК2 – ТК3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35,35</w:t>
            </w:r>
          </w:p>
        </w:tc>
        <w:tc>
          <w:tcPr>
            <w:tcW w:w="1445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968, 2</w:t>
            </w:r>
          </w:p>
        </w:tc>
        <w:tc>
          <w:tcPr>
            <w:tcW w:w="2410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2025</w:t>
            </w:r>
          </w:p>
        </w:tc>
      </w:tr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  <w:r w:rsidRPr="005B3F19">
              <w:rPr>
                <w:rFonts w:ascii="Times New Roman" w:eastAsia="Arial" w:hAnsi="Times New Roman" w:cs="Times New Roman"/>
                <w:lang w:eastAsia="ar-SA"/>
              </w:rPr>
              <w:t>3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160" w:line="259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  <w:r w:rsidRPr="005B3F19">
              <w:rPr>
                <w:rFonts w:ascii="Times New Roman" w:eastAsia="Calibri" w:hAnsi="Times New Roman" w:cs="Times New Roman"/>
              </w:rPr>
              <w:t>ТК2 – ТК4 От поворота на ул. Оцимика до поворота на ул. Кооперативная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 xml:space="preserve">136,35 </w:t>
            </w:r>
          </w:p>
        </w:tc>
        <w:tc>
          <w:tcPr>
            <w:tcW w:w="1445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 xml:space="preserve"> 3 734,5</w:t>
            </w:r>
          </w:p>
        </w:tc>
        <w:tc>
          <w:tcPr>
            <w:tcW w:w="2410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</w:rPr>
              <w:t>2026-2029</w:t>
            </w:r>
          </w:p>
        </w:tc>
      </w:tr>
      <w:tr w:rsidR="005B3F19" w:rsidRPr="005B3F19" w:rsidTr="00E40B81">
        <w:tc>
          <w:tcPr>
            <w:tcW w:w="511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3024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x-none" w:bidi="en-US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5" w:type="dxa"/>
            <w:shd w:val="clear" w:color="auto" w:fill="auto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3F19">
              <w:rPr>
                <w:rFonts w:ascii="Times New Roman" w:eastAsia="Calibri" w:hAnsi="Times New Roman" w:cs="Times New Roman"/>
                <w:b/>
              </w:rPr>
              <w:t>6 299,50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3F19" w:rsidRPr="005B3F19" w:rsidRDefault="005B3F19" w:rsidP="00E40B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1E33" w:rsidRPr="00A11CE7" w:rsidRDefault="00144239" w:rsidP="001464F2">
      <w:pPr>
        <w:pStyle w:val="Standard"/>
        <w:suppressAutoHyphens w:val="0"/>
        <w:ind w:firstLine="709"/>
        <w:jc w:val="both"/>
        <w:rPr>
          <w:rFonts w:eastAsia="Times New Roman" w:cs="Times New Roman"/>
          <w:sz w:val="22"/>
          <w:szCs w:val="22"/>
          <w:lang w:eastAsia="ru-RU"/>
        </w:rPr>
      </w:pPr>
      <w:r w:rsidRPr="00A11CE7">
        <w:rPr>
          <w:rFonts w:eastAsia="Times New Roman" w:cs="Times New Roman"/>
          <w:sz w:val="22"/>
          <w:szCs w:val="22"/>
          <w:lang w:val="ru-RU" w:eastAsia="ru-RU"/>
        </w:rPr>
        <w:t>2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 xml:space="preserve">.  </w:t>
      </w:r>
      <w:r w:rsidR="00001A9B" w:rsidRPr="00A11CE7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 xml:space="preserve"> Контроль за исполнением настоящего</w:t>
      </w:r>
      <w:r w:rsidR="00695032" w:rsidRPr="00A11CE7">
        <w:rPr>
          <w:rFonts w:eastAsia="Times New Roman" w:cs="Times New Roman"/>
          <w:sz w:val="22"/>
          <w:szCs w:val="22"/>
          <w:lang w:eastAsia="ru-RU"/>
        </w:rPr>
        <w:t xml:space="preserve"> приказа оставляю за собой</w:t>
      </w:r>
      <w:r w:rsidR="00D01E33" w:rsidRPr="00A11CE7">
        <w:rPr>
          <w:rFonts w:eastAsia="Times New Roman" w:cs="Times New Roman"/>
          <w:sz w:val="22"/>
          <w:szCs w:val="22"/>
          <w:lang w:eastAsia="ru-RU"/>
        </w:rPr>
        <w:t>.</w:t>
      </w:r>
    </w:p>
    <w:p w:rsidR="00D01E33" w:rsidRPr="00A11CE7" w:rsidRDefault="00001A9B" w:rsidP="00207596">
      <w:pPr>
        <w:pStyle w:val="ad"/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A11CE7">
        <w:rPr>
          <w:rFonts w:ascii="Times New Roman" w:eastAsia="Times New Roman" w:hAnsi="Times New Roman" w:cs="Times New Roman"/>
          <w:lang w:eastAsia="ru-RU"/>
        </w:rPr>
        <w:t xml:space="preserve"> </w:t>
      </w:r>
      <w:r w:rsidR="00695032" w:rsidRPr="00A11CE7">
        <w:rPr>
          <w:rFonts w:ascii="Times New Roman" w:eastAsia="Times New Roman" w:hAnsi="Times New Roman" w:cs="Times New Roman"/>
          <w:lang w:eastAsia="ru-RU"/>
        </w:rPr>
        <w:t>Настоящий приказ</w:t>
      </w:r>
      <w:r w:rsidR="00D01E33" w:rsidRPr="00A11CE7">
        <w:rPr>
          <w:rFonts w:ascii="Times New Roman" w:eastAsia="Times New Roman" w:hAnsi="Times New Roman" w:cs="Times New Roman"/>
          <w:lang w:eastAsia="ru-RU"/>
        </w:rPr>
        <w:t xml:space="preserve"> вступает в силу со дня подписания. </w:t>
      </w:r>
    </w:p>
    <w:p w:rsidR="00D01E33" w:rsidRPr="00A11CE7" w:rsidRDefault="00D01E33" w:rsidP="00D01E33">
      <w:pPr>
        <w:spacing w:after="0" w:line="240" w:lineRule="atLeast"/>
        <w:rPr>
          <w:rFonts w:ascii="Times New Roman" w:eastAsia="Times New Roman" w:hAnsi="Times New Roman" w:cs="Times New Roman"/>
          <w:b/>
          <w:lang w:eastAsia="ru-RU"/>
        </w:rPr>
      </w:pPr>
    </w:p>
    <w:p w:rsidR="00DF7A55" w:rsidRDefault="00E47416" w:rsidP="00DF7A55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DF7A5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DF7A55">
        <w:rPr>
          <w:rFonts w:ascii="Times New Roman" w:hAnsi="Times New Roman" w:cs="Times New Roman"/>
          <w:sz w:val="24"/>
          <w:szCs w:val="24"/>
        </w:rPr>
        <w:t xml:space="preserve"> Баргузинского районного </w:t>
      </w:r>
    </w:p>
    <w:p w:rsidR="00001A9B" w:rsidRDefault="00DF7A55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 имущественных отношений                                                                    </w:t>
      </w:r>
      <w:r w:rsidR="00144239">
        <w:rPr>
          <w:rFonts w:ascii="Times New Roman" w:hAnsi="Times New Roman" w:cs="Times New Roman"/>
          <w:sz w:val="24"/>
          <w:szCs w:val="24"/>
        </w:rPr>
        <w:t>Е.Н. Узиков</w:t>
      </w: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001A9B" w:rsidRDefault="00001A9B" w:rsidP="00AA3794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</w:p>
    <w:sectPr w:rsidR="00001A9B" w:rsidSect="00350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DA0" w:rsidRDefault="00525DA0" w:rsidP="00C96ADA">
      <w:pPr>
        <w:spacing w:after="0" w:line="240" w:lineRule="auto"/>
      </w:pPr>
      <w:r>
        <w:separator/>
      </w:r>
    </w:p>
  </w:endnote>
  <w:endnote w:type="continuationSeparator" w:id="0">
    <w:p w:rsidR="00525DA0" w:rsidRDefault="00525DA0" w:rsidP="00C9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DA0" w:rsidRDefault="00525DA0" w:rsidP="00C96ADA">
      <w:pPr>
        <w:spacing w:after="0" w:line="240" w:lineRule="auto"/>
      </w:pPr>
      <w:r>
        <w:separator/>
      </w:r>
    </w:p>
  </w:footnote>
  <w:footnote w:type="continuationSeparator" w:id="0">
    <w:p w:rsidR="00525DA0" w:rsidRDefault="00525DA0" w:rsidP="00C96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07F12"/>
    <w:multiLevelType w:val="hybridMultilevel"/>
    <w:tmpl w:val="79F87AE4"/>
    <w:lvl w:ilvl="0" w:tplc="5AC0DFA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1B6321E"/>
    <w:multiLevelType w:val="hybridMultilevel"/>
    <w:tmpl w:val="BD026DB8"/>
    <w:lvl w:ilvl="0" w:tplc="AED0FE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E0AE151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3E90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A64141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E24B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8BED8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D2680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5073B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E04A5F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54D2438D"/>
    <w:multiLevelType w:val="hybridMultilevel"/>
    <w:tmpl w:val="4C3E6BE2"/>
    <w:lvl w:ilvl="0" w:tplc="9212300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2236DE5"/>
    <w:multiLevelType w:val="multilevel"/>
    <w:tmpl w:val="6C50D94C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hint="default"/>
        <w:color w:val="auto"/>
        <w:w w:val="10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  <w:color w:val="auto"/>
        <w:w w:val="100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  <w:color w:val="auto"/>
        <w:w w:val="100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  <w:color w:val="auto"/>
        <w:w w:val="10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color w:val="auto"/>
        <w:w w:val="100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  <w:color w:val="auto"/>
        <w:w w:val="100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  <w:color w:val="auto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  <w:color w:val="auto"/>
        <w:w w:val="100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>
      <o:colormru v:ext="edit" colors="#fedc1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20"/>
    <w:rsid w:val="00001A9B"/>
    <w:rsid w:val="000600A5"/>
    <w:rsid w:val="00114F2E"/>
    <w:rsid w:val="00144239"/>
    <w:rsid w:val="001464F2"/>
    <w:rsid w:val="00165C87"/>
    <w:rsid w:val="00176740"/>
    <w:rsid w:val="001E1965"/>
    <w:rsid w:val="00207596"/>
    <w:rsid w:val="00233BAA"/>
    <w:rsid w:val="00291D64"/>
    <w:rsid w:val="003034DE"/>
    <w:rsid w:val="00350707"/>
    <w:rsid w:val="0037153F"/>
    <w:rsid w:val="003A2C06"/>
    <w:rsid w:val="003A4057"/>
    <w:rsid w:val="003D1EFD"/>
    <w:rsid w:val="003D5920"/>
    <w:rsid w:val="004138A7"/>
    <w:rsid w:val="00417E50"/>
    <w:rsid w:val="004242E5"/>
    <w:rsid w:val="0047637F"/>
    <w:rsid w:val="00497DDA"/>
    <w:rsid w:val="004A5114"/>
    <w:rsid w:val="005030B4"/>
    <w:rsid w:val="005131E5"/>
    <w:rsid w:val="00525DA0"/>
    <w:rsid w:val="00546E2E"/>
    <w:rsid w:val="005B3F19"/>
    <w:rsid w:val="005B5BE1"/>
    <w:rsid w:val="005C4942"/>
    <w:rsid w:val="005D3FE8"/>
    <w:rsid w:val="005D59DB"/>
    <w:rsid w:val="0063075C"/>
    <w:rsid w:val="00657DC5"/>
    <w:rsid w:val="0068120A"/>
    <w:rsid w:val="00695032"/>
    <w:rsid w:val="006A0D6E"/>
    <w:rsid w:val="006C5327"/>
    <w:rsid w:val="007E6E9D"/>
    <w:rsid w:val="00834A0B"/>
    <w:rsid w:val="008666FE"/>
    <w:rsid w:val="00873A2C"/>
    <w:rsid w:val="00884893"/>
    <w:rsid w:val="00922A09"/>
    <w:rsid w:val="00992FB5"/>
    <w:rsid w:val="009E4B3B"/>
    <w:rsid w:val="00A11CE7"/>
    <w:rsid w:val="00A218BB"/>
    <w:rsid w:val="00A901D6"/>
    <w:rsid w:val="00AA3794"/>
    <w:rsid w:val="00B47D07"/>
    <w:rsid w:val="00C67E20"/>
    <w:rsid w:val="00C76B22"/>
    <w:rsid w:val="00C92015"/>
    <w:rsid w:val="00C96ADA"/>
    <w:rsid w:val="00CF454C"/>
    <w:rsid w:val="00D01E33"/>
    <w:rsid w:val="00D47C1B"/>
    <w:rsid w:val="00D96586"/>
    <w:rsid w:val="00DF7A55"/>
    <w:rsid w:val="00E365EA"/>
    <w:rsid w:val="00E47416"/>
    <w:rsid w:val="00E94CB3"/>
    <w:rsid w:val="00EC2CAB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edc10"/>
    </o:shapedefaults>
    <o:shapelayout v:ext="edit">
      <o:idmap v:ext="edit" data="1"/>
    </o:shapelayout>
  </w:shapeDefaults>
  <w:decimalSymbol w:val=","/>
  <w:listSeparator w:val=";"/>
  <w14:docId w14:val="4F0AEDA6"/>
  <w15:docId w15:val="{00711483-830D-4878-80FC-AAFC1786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7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88489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96ADA"/>
  </w:style>
  <w:style w:type="paragraph" w:styleId="a9">
    <w:name w:val="footer"/>
    <w:basedOn w:val="a"/>
    <w:link w:val="aa"/>
    <w:uiPriority w:val="99"/>
    <w:semiHidden/>
    <w:unhideWhenUsed/>
    <w:rsid w:val="00C96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96ADA"/>
  </w:style>
  <w:style w:type="paragraph" w:styleId="ab">
    <w:name w:val="Normal (Web)"/>
    <w:basedOn w:val="a"/>
    <w:uiPriority w:val="99"/>
    <w:unhideWhenUsed/>
    <w:rsid w:val="00834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834A0B"/>
    <w:rPr>
      <w:b/>
      <w:bCs/>
    </w:rPr>
  </w:style>
  <w:style w:type="paragraph" w:customStyle="1" w:styleId="Standard">
    <w:name w:val="Standard"/>
    <w:rsid w:val="00207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d">
    <w:name w:val="List Paragraph"/>
    <w:basedOn w:val="a"/>
    <w:uiPriority w:val="34"/>
    <w:qFormat/>
    <w:rsid w:val="00207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BeloshapkinEV</dc:creator>
  <cp:lastModifiedBy>1</cp:lastModifiedBy>
  <cp:revision>6</cp:revision>
  <cp:lastPrinted>2024-08-28T01:34:00Z</cp:lastPrinted>
  <dcterms:created xsi:type="dcterms:W3CDTF">2024-08-28T01:39:00Z</dcterms:created>
  <dcterms:modified xsi:type="dcterms:W3CDTF">2024-08-28T01:50:00Z</dcterms:modified>
</cp:coreProperties>
</file>